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B76" w:rsidRPr="00A74286" w:rsidRDefault="00A74286" w:rsidP="00FD7CC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74286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="00FD7CC3" w:rsidRPr="00A74286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="00FD7CC3" w:rsidRPr="00A74286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="00FD7CC3" w:rsidRPr="00A74286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="00FD7CC3" w:rsidRPr="00A74286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="00FD7CC3" w:rsidRPr="00A74286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 </w:t>
      </w:r>
      <w:r w:rsidR="00FD7CC3" w:rsidRPr="00A74286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 </w:t>
      </w:r>
      <w:proofErr w:type="spellStart"/>
      <w:r w:rsidR="00FD7CC3" w:rsidRPr="00A74286">
        <w:rPr>
          <w:b/>
          <w:sz w:val="32"/>
          <w:szCs w:val="32"/>
        </w:rPr>
        <w:t>ц</w:t>
      </w:r>
      <w:proofErr w:type="spellEnd"/>
      <w:r>
        <w:rPr>
          <w:b/>
          <w:sz w:val="32"/>
          <w:szCs w:val="32"/>
        </w:rPr>
        <w:t xml:space="preserve"> </w:t>
      </w:r>
      <w:r w:rsidR="00FD7CC3" w:rsidRPr="00A74286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="00FD7CC3" w:rsidRPr="00A74286">
        <w:rPr>
          <w:b/>
          <w:sz w:val="32"/>
          <w:szCs w:val="32"/>
        </w:rPr>
        <w:t>я</w:t>
      </w:r>
    </w:p>
    <w:p w:rsidR="00FD7CC3" w:rsidRPr="00A74286" w:rsidRDefault="00FD7CC3" w:rsidP="00FD7CC3">
      <w:pPr>
        <w:jc w:val="center"/>
        <w:rPr>
          <w:b/>
        </w:rPr>
      </w:pPr>
      <w:r w:rsidRPr="00A74286">
        <w:rPr>
          <w:b/>
        </w:rPr>
        <w:t>о соблюдении правил пожарной безопасности в быту, в жилых домах, квартирах, дачах, хозяйственных постройках и прилегающих территориях</w:t>
      </w:r>
    </w:p>
    <w:p w:rsidR="00FD7CC3" w:rsidRDefault="00FD7CC3" w:rsidP="00FD7CC3">
      <w:r>
        <w:t>1</w:t>
      </w:r>
      <w:r w:rsidRPr="00277AA9">
        <w:rPr>
          <w:b/>
        </w:rPr>
        <w:t>. В соответствии с существующим законодательством ответственность за нарушение требований  пожарной безопасности  в индивидуальных жилых домах, дачах, хозяйственных постройках и прилегающих территориях несут их собственники.</w:t>
      </w:r>
      <w:r>
        <w:t xml:space="preserve"> В квартирах (комнатах) в домах государственного, муниципального и ведомственного жилого фонда ответственность возлагается на ответственных квартиросъемщиков или арендаторов</w:t>
      </w:r>
      <w:r w:rsidR="00311D8F">
        <w:t>, если иное не предусмотрено соответствующим договором.</w:t>
      </w:r>
    </w:p>
    <w:p w:rsidR="00FB2A75" w:rsidRDefault="00445008" w:rsidP="00FD7CC3">
      <w:r>
        <w:t xml:space="preserve">   </w:t>
      </w:r>
      <w:r>
        <w:rPr>
          <w:b/>
        </w:rPr>
        <w:t>ДОМА, КВАРТИРЫ</w:t>
      </w:r>
      <w:r w:rsidRPr="00445008">
        <w:rPr>
          <w:b/>
        </w:rPr>
        <w:t>.</w:t>
      </w:r>
      <w:r w:rsidR="00311D8F">
        <w:t xml:space="preserve"> Пожарная опасность современных квартир и жилых домов ( в том и числе дач), характеризуется наличием большого количества сгораемых материалов – это жесткая мебель, отделанная полиэфирными, нитроцеллюлозными и полиуретановыми покрытиями (лаки, краски) и имеющая в своей структуре формальдегидные смолы (ДСП, ДВП) и мягкая мебель – с применением поролона и латекса на синтетической и резинотехнической основе, которые  являются легко воспламеняемыми материалами и выделяющими при горении сильные отравляющие вещества. </w:t>
      </w:r>
      <w:r w:rsidR="00311D8F" w:rsidRPr="00277AA9">
        <w:rPr>
          <w:b/>
        </w:rPr>
        <w:t xml:space="preserve">Не потушенный окурок или спичка, попавшие на мягкую мебель, являются наиболее распространенной причиной гибели людей при пожарах в жилье, особенно лиц, находящихся в нетрезвом состоянии. </w:t>
      </w:r>
      <w:r w:rsidR="00311D8F">
        <w:t>Нельзя разрешать детям играть со спичками и оставлять их в доме</w:t>
      </w:r>
      <w:r w:rsidR="00FB2A75">
        <w:t xml:space="preserve"> или в квартире без надзора взрослых.</w:t>
      </w:r>
    </w:p>
    <w:p w:rsidR="00311D8F" w:rsidRDefault="00445008" w:rsidP="00FD7CC3">
      <w:r>
        <w:t xml:space="preserve">      </w:t>
      </w:r>
      <w:r w:rsidR="00FB2A75">
        <w:t xml:space="preserve">Собственники домов, квартир, дач и хозяйственных построек обязаны поддерживать в них строгий противопожарный режим, следить за </w:t>
      </w:r>
      <w:r w:rsidR="00256E86">
        <w:t>исправностью приборов отопления,</w:t>
      </w:r>
      <w:r w:rsidR="00FB2A75">
        <w:t xml:space="preserve"> </w:t>
      </w:r>
      <w:r w:rsidR="00256E86">
        <w:t>э</w:t>
      </w:r>
      <w:r w:rsidR="00FB2A75">
        <w:t>лектрической проводки</w:t>
      </w:r>
      <w:r w:rsidR="00256E86">
        <w:t xml:space="preserve"> и других бытовых электрических приборов.</w:t>
      </w:r>
    </w:p>
    <w:p w:rsidR="00256E86" w:rsidRDefault="00256E86" w:rsidP="00FD7CC3">
      <w:r>
        <w:t xml:space="preserve"> </w:t>
      </w:r>
      <w:r w:rsidR="00445008" w:rsidRPr="00445008">
        <w:rPr>
          <w:b/>
        </w:rPr>
        <w:t>ТЕРРИТОРИЯ,</w:t>
      </w:r>
      <w:r w:rsidR="00445008">
        <w:t xml:space="preserve"> </w:t>
      </w:r>
      <w:r>
        <w:t>прилегающая к индивидуальным жилым домам, дачам, гаражам и другим хозяйственным постройкам, должна содержаться в чистоте и систематически очищаться от горючих отходов, мусора, тары, опавших листьев, сухой травы, которые должны в дальнейшем вывозится на свалку. Разведение костров, сжигание тары</w:t>
      </w:r>
      <w:r w:rsidR="009B3353">
        <w:t xml:space="preserve"> не разрешается в пределах установленных нормами проектирования противопожарных  расстояний, но не ближе 50 метров до зданий и сооружений. Сжигание отходов и тары допускается в специально отведенных для этих целей местах</w:t>
      </w:r>
      <w:r w:rsidR="00DE25D2">
        <w:t xml:space="preserve">, </w:t>
      </w:r>
      <w:r w:rsidR="009B3353">
        <w:t>должно производится по</w:t>
      </w:r>
      <w:r w:rsidR="00DE25D2">
        <w:t>д</w:t>
      </w:r>
      <w:r w:rsidR="009B3353">
        <w:t xml:space="preserve"> постоянным контролем.</w:t>
      </w:r>
      <w:r w:rsidR="00277AA9">
        <w:t>.</w:t>
      </w:r>
    </w:p>
    <w:p w:rsidR="008D74F8" w:rsidRDefault="00C257BA" w:rsidP="00524007">
      <w:pPr>
        <w:ind w:firstLine="284"/>
      </w:pPr>
      <w:r w:rsidRPr="00445008">
        <w:rPr>
          <w:b/>
        </w:rPr>
        <w:t xml:space="preserve"> </w:t>
      </w:r>
      <w:r w:rsidR="00445008" w:rsidRPr="00445008">
        <w:rPr>
          <w:b/>
        </w:rPr>
        <w:t>ОТОПЛЕНИЕ.</w:t>
      </w:r>
      <w:r w:rsidR="00277AA9">
        <w:rPr>
          <w:b/>
        </w:rPr>
        <w:t xml:space="preserve"> </w:t>
      </w:r>
      <w:r>
        <w:t xml:space="preserve">Перед началом отопительного сезона все печи и другие приборы отопления должны быть тщательно проверены и отремонтированы. </w:t>
      </w:r>
      <w:r w:rsidR="008D74F8">
        <w:t>Дымовые каналы нужно очищать пере</w:t>
      </w:r>
      <w:r w:rsidR="00040067">
        <w:t>д  началом отопительного сезона .</w:t>
      </w:r>
      <w:r>
        <w:t xml:space="preserve"> В чердачных помещениях дымовые трубы должны быть побелены. У каждой печи должен быть прибит предтопочный лис</w:t>
      </w:r>
      <w:r w:rsidR="00524007">
        <w:t xml:space="preserve">т (на полу из горючего материала), размерами не менее 0,5х0,7 м., длинной стороной вдоль печи. </w:t>
      </w:r>
      <w:r w:rsidR="00040067">
        <w:t xml:space="preserve">Запрещается эксплуатировать неисправные (имеющие трещины, прогары) отопительные печи, дымоходы, трубы, а также печи которые не имеют установленных нормами противопожарных разделок и отступок от горючих конструкций дома. </w:t>
      </w:r>
      <w:r w:rsidR="00524007">
        <w:t xml:space="preserve">Приводим строительные нормы </w:t>
      </w:r>
    </w:p>
    <w:p w:rsidR="008D74F8" w:rsidRDefault="00524007" w:rsidP="008D74F8">
      <w:pPr>
        <w:ind w:firstLine="284"/>
        <w:jc w:val="center"/>
        <w:rPr>
          <w:b/>
        </w:rPr>
      </w:pPr>
      <w:r>
        <w:rPr>
          <w:b/>
        </w:rPr>
        <w:t>РАЗМЕРОВ РАЗДЕЛОК И ОТСТУПОК У ПЕЧЕЙ И ДЫМОВЫХ КАНАЛОВ</w:t>
      </w:r>
    </w:p>
    <w:p w:rsidR="00524007" w:rsidRPr="008C7BC6" w:rsidRDefault="00524007" w:rsidP="00524007">
      <w:pPr>
        <w:ind w:firstLine="284"/>
        <w:rPr>
          <w:sz w:val="20"/>
          <w:szCs w:val="20"/>
        </w:rPr>
      </w:pPr>
      <w:r w:rsidRPr="008C7BC6">
        <w:rPr>
          <w:sz w:val="20"/>
          <w:szCs w:val="20"/>
        </w:rPr>
        <w:t>в соответствии с требования обязательного приложения №16, строительных норм и правил «Отопление, вентиляция и кондиционирование» СНиП 2.04.05-91*</w:t>
      </w:r>
    </w:p>
    <w:p w:rsidR="00524007" w:rsidRDefault="00524007" w:rsidP="00524007">
      <w:pPr>
        <w:ind w:firstLine="284"/>
        <w:jc w:val="both"/>
      </w:pPr>
      <w:r>
        <w:t xml:space="preserve">Размеры </w:t>
      </w:r>
      <w:r w:rsidRPr="00D6206F">
        <w:rPr>
          <w:b/>
        </w:rPr>
        <w:t>разделок</w:t>
      </w:r>
      <w:r w:rsidR="00040067">
        <w:rPr>
          <w:b/>
        </w:rPr>
        <w:t xml:space="preserve"> </w:t>
      </w:r>
      <w:r w:rsidR="00040067" w:rsidRPr="00040067">
        <w:t xml:space="preserve"> (расстояние от внутренней стенки дымового канала до горючих конструкций перекрытия дома)</w:t>
      </w:r>
      <w:r w:rsidR="00040067">
        <w:rPr>
          <w:b/>
        </w:rPr>
        <w:t xml:space="preserve"> </w:t>
      </w:r>
      <w:r w:rsidR="00040067">
        <w:t xml:space="preserve"> </w:t>
      </w:r>
      <w:r w:rsidR="00040067" w:rsidRPr="00040067">
        <w:rPr>
          <w:b/>
        </w:rPr>
        <w:t>дымовых каналов</w:t>
      </w:r>
      <w:r w:rsidR="00040067">
        <w:t>,</w:t>
      </w:r>
      <w:r>
        <w:t xml:space="preserve"> следует принимать равными 500 мм до конструкций зданий из горючих материалов и 380 мм — до конструкций, защищенных штукатуркой толщиной 25 мм по металлической сетке или металлическим листом по асбестовому картону толщиной 8 мм</w:t>
      </w:r>
    </w:p>
    <w:p w:rsidR="00524007" w:rsidRDefault="00524007" w:rsidP="00A71035">
      <w:pPr>
        <w:ind w:firstLine="284"/>
        <w:jc w:val="both"/>
      </w:pPr>
      <w:r>
        <w:t xml:space="preserve">2. </w:t>
      </w:r>
      <w:r w:rsidRPr="00142AF4">
        <w:t xml:space="preserve"> </w:t>
      </w:r>
      <w:r w:rsidRPr="00D6206F">
        <w:rPr>
          <w:b/>
        </w:rPr>
        <w:t xml:space="preserve">Отступку </w:t>
      </w:r>
      <w:r>
        <w:t>— пространство между наружной поверхностью печи, дымовой трубы или дымового канала и стеной, перегородкой или другой конструкцией здания, выполненных из горючих и трудно</w:t>
      </w:r>
      <w:r w:rsidR="00A71035">
        <w:t xml:space="preserve"> </w:t>
      </w:r>
      <w:r>
        <w:t>горючих материалов, следует принимать в соответствии с таблицей: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3"/>
        <w:gridCol w:w="1340"/>
        <w:gridCol w:w="1530"/>
        <w:gridCol w:w="6447"/>
      </w:tblGrid>
      <w:tr w:rsidR="00524007"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524007" w:rsidRPr="008C7BC6" w:rsidRDefault="00524007" w:rsidP="00A74286">
            <w:pPr>
              <w:jc w:val="center"/>
              <w:rPr>
                <w:sz w:val="20"/>
                <w:szCs w:val="20"/>
              </w:rPr>
            </w:pPr>
          </w:p>
          <w:p w:rsidR="00524007" w:rsidRPr="008C7BC6" w:rsidRDefault="00524007" w:rsidP="00A74286">
            <w:pPr>
              <w:jc w:val="center"/>
              <w:rPr>
                <w:sz w:val="20"/>
                <w:szCs w:val="20"/>
              </w:rPr>
            </w:pPr>
            <w:r w:rsidRPr="008C7BC6">
              <w:rPr>
                <w:sz w:val="20"/>
                <w:szCs w:val="20"/>
              </w:rPr>
              <w:t>Толщина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24007" w:rsidRPr="008C7BC6" w:rsidRDefault="00524007" w:rsidP="00A74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007" w:rsidRPr="008C7BC6" w:rsidRDefault="00524007" w:rsidP="00A74286">
            <w:pPr>
              <w:jc w:val="center"/>
              <w:rPr>
                <w:sz w:val="20"/>
                <w:szCs w:val="20"/>
              </w:rPr>
            </w:pPr>
            <w:r w:rsidRPr="008C7BC6">
              <w:rPr>
                <w:sz w:val="20"/>
                <w:szCs w:val="20"/>
              </w:rPr>
              <w:t>Расстояние от наружной поверхности печи или дымового канала (трубы) до стены или перегородки, мм</w:t>
            </w:r>
          </w:p>
        </w:tc>
      </w:tr>
      <w:tr w:rsidR="00524007">
        <w:tc>
          <w:tcPr>
            <w:tcW w:w="15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24007" w:rsidRPr="008C7BC6" w:rsidRDefault="00524007" w:rsidP="00A74286">
            <w:pPr>
              <w:jc w:val="center"/>
              <w:rPr>
                <w:sz w:val="20"/>
                <w:szCs w:val="20"/>
              </w:rPr>
            </w:pPr>
            <w:r w:rsidRPr="008C7BC6">
              <w:rPr>
                <w:sz w:val="20"/>
                <w:szCs w:val="20"/>
              </w:rPr>
              <w:t>стенки печи, мм</w:t>
            </w:r>
          </w:p>
        </w:tc>
        <w:tc>
          <w:tcPr>
            <w:tcW w:w="1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007" w:rsidRPr="008C7BC6" w:rsidRDefault="00524007" w:rsidP="00A74286">
            <w:pPr>
              <w:jc w:val="center"/>
              <w:rPr>
                <w:sz w:val="20"/>
                <w:szCs w:val="20"/>
              </w:rPr>
            </w:pPr>
            <w:r w:rsidRPr="008C7BC6">
              <w:rPr>
                <w:sz w:val="20"/>
                <w:szCs w:val="20"/>
              </w:rPr>
              <w:t>Отступка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007" w:rsidRPr="008C7BC6" w:rsidRDefault="00524007" w:rsidP="00A74286">
            <w:pPr>
              <w:jc w:val="center"/>
              <w:rPr>
                <w:sz w:val="20"/>
                <w:szCs w:val="20"/>
              </w:rPr>
            </w:pPr>
            <w:r w:rsidRPr="008C7BC6">
              <w:rPr>
                <w:sz w:val="20"/>
                <w:szCs w:val="20"/>
              </w:rPr>
              <w:t>не защищенной от возгорания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007" w:rsidRPr="00A71035" w:rsidRDefault="00524007" w:rsidP="00A74286">
            <w:pPr>
              <w:ind w:firstLine="284"/>
              <w:jc w:val="center"/>
              <w:rPr>
                <w:sz w:val="16"/>
                <w:szCs w:val="16"/>
              </w:rPr>
            </w:pPr>
            <w:r w:rsidRPr="00A71035">
              <w:rPr>
                <w:sz w:val="16"/>
                <w:szCs w:val="16"/>
              </w:rPr>
              <w:t>защищенной от возгорания защищенных штукатуркой толщиной 25 мм по металлической сетке или металлическим листом по асбестовому картону толщиной 8 мм</w:t>
            </w:r>
          </w:p>
        </w:tc>
      </w:tr>
      <w:tr w:rsidR="00524007"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524007" w:rsidRDefault="00524007" w:rsidP="00A74286">
            <w:pPr>
              <w:jc w:val="center"/>
            </w:pPr>
            <w:r>
              <w:t>120</w:t>
            </w:r>
          </w:p>
        </w:tc>
        <w:tc>
          <w:tcPr>
            <w:tcW w:w="1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24007" w:rsidRDefault="00524007" w:rsidP="00A74286">
            <w:pPr>
              <w:jc w:val="center"/>
            </w:pPr>
            <w:r>
              <w:t>Открытая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24007" w:rsidRDefault="00524007" w:rsidP="00A74286">
            <w:pPr>
              <w:jc w:val="center"/>
            </w:pPr>
            <w:r>
              <w:t>260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24007" w:rsidRDefault="00524007" w:rsidP="00A74286">
            <w:pPr>
              <w:jc w:val="center"/>
            </w:pPr>
            <w:r>
              <w:t>200</w:t>
            </w:r>
          </w:p>
        </w:tc>
      </w:tr>
      <w:tr w:rsidR="00524007"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524007" w:rsidRDefault="00524007" w:rsidP="00A74286">
            <w:pPr>
              <w:jc w:val="center"/>
            </w:pPr>
            <w:r>
              <w:t>120</w:t>
            </w:r>
          </w:p>
        </w:tc>
        <w:tc>
          <w:tcPr>
            <w:tcW w:w="1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24007" w:rsidRDefault="00524007" w:rsidP="00A74286">
            <w:pPr>
              <w:jc w:val="center"/>
            </w:pPr>
            <w:r>
              <w:t>Закрытая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24007" w:rsidRDefault="00524007" w:rsidP="00A74286">
            <w:pPr>
              <w:jc w:val="center"/>
            </w:pPr>
            <w:r>
              <w:t>320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24007" w:rsidRDefault="00524007" w:rsidP="00A74286">
            <w:pPr>
              <w:jc w:val="center"/>
            </w:pPr>
            <w:r>
              <w:t>260</w:t>
            </w:r>
          </w:p>
        </w:tc>
      </w:tr>
      <w:tr w:rsidR="00524007"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524007" w:rsidRDefault="00524007" w:rsidP="00A74286">
            <w:pPr>
              <w:jc w:val="center"/>
            </w:pPr>
            <w:r>
              <w:t>65</w:t>
            </w:r>
          </w:p>
        </w:tc>
        <w:tc>
          <w:tcPr>
            <w:tcW w:w="1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24007" w:rsidRDefault="00524007" w:rsidP="00A74286">
            <w:pPr>
              <w:jc w:val="center"/>
            </w:pPr>
            <w:r>
              <w:t>Открытая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24007" w:rsidRDefault="00524007" w:rsidP="00A74286">
            <w:pPr>
              <w:jc w:val="center"/>
            </w:pPr>
            <w:r>
              <w:t>320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24007" w:rsidRDefault="00524007" w:rsidP="00A74286">
            <w:pPr>
              <w:jc w:val="center"/>
            </w:pPr>
            <w:r>
              <w:t>260</w:t>
            </w:r>
          </w:p>
        </w:tc>
      </w:tr>
      <w:tr w:rsidR="00524007">
        <w:tc>
          <w:tcPr>
            <w:tcW w:w="15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24007" w:rsidRDefault="00524007" w:rsidP="00A74286">
            <w:pPr>
              <w:jc w:val="center"/>
            </w:pPr>
            <w:r>
              <w:t>65</w:t>
            </w:r>
          </w:p>
        </w:tc>
        <w:tc>
          <w:tcPr>
            <w:tcW w:w="1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007" w:rsidRDefault="00524007" w:rsidP="00A74286">
            <w:pPr>
              <w:jc w:val="center"/>
            </w:pPr>
            <w:r>
              <w:t>Закрытая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007" w:rsidRDefault="00524007" w:rsidP="00A74286">
            <w:pPr>
              <w:jc w:val="center"/>
            </w:pPr>
            <w:r>
              <w:t>500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007" w:rsidRDefault="00524007" w:rsidP="00A74286">
            <w:pPr>
              <w:jc w:val="center"/>
            </w:pPr>
            <w:r>
              <w:t>380</w:t>
            </w:r>
          </w:p>
        </w:tc>
      </w:tr>
    </w:tbl>
    <w:p w:rsidR="00524007" w:rsidRDefault="00524007" w:rsidP="00524007">
      <w:pPr>
        <w:ind w:firstLine="284"/>
        <w:jc w:val="both"/>
      </w:pPr>
    </w:p>
    <w:p w:rsidR="00524007" w:rsidRDefault="00524007" w:rsidP="00524007">
      <w:pPr>
        <w:ind w:firstLine="284"/>
        <w:jc w:val="both"/>
      </w:pPr>
      <w:r>
        <w:t>а для печей заводского изготовления — по документации завода-изготовителя.</w:t>
      </w:r>
    </w:p>
    <w:p w:rsidR="00062AA2" w:rsidRDefault="00062AA2" w:rsidP="00C257BA">
      <w:pPr>
        <w:jc w:val="both"/>
      </w:pPr>
    </w:p>
    <w:p w:rsidR="00A71035" w:rsidRDefault="00A71035" w:rsidP="00C257BA">
      <w:pPr>
        <w:jc w:val="both"/>
      </w:pPr>
    </w:p>
    <w:p w:rsidR="00524007" w:rsidRDefault="00A71035" w:rsidP="00C257BA">
      <w:pPr>
        <w:jc w:val="both"/>
      </w:pPr>
      <w:r>
        <w:rPr>
          <w:b/>
        </w:rPr>
        <w:t>При эксплуатации печного отопления к</w:t>
      </w:r>
      <w:r w:rsidR="00062AA2" w:rsidRPr="00524007">
        <w:rPr>
          <w:b/>
        </w:rPr>
        <w:t>атегорически запрещается</w:t>
      </w:r>
      <w:r w:rsidR="00062AA2">
        <w:t xml:space="preserve"> </w:t>
      </w:r>
      <w:r w:rsidR="00524007">
        <w:t>:</w:t>
      </w:r>
    </w:p>
    <w:p w:rsidR="00524007" w:rsidRDefault="00524007" w:rsidP="00C257BA">
      <w:pPr>
        <w:jc w:val="both"/>
      </w:pPr>
      <w:r>
        <w:t xml:space="preserve">- </w:t>
      </w:r>
      <w:r w:rsidR="00062AA2">
        <w:t xml:space="preserve">оставлять без присмотра топящие печи, а тем более поручать </w:t>
      </w:r>
      <w:r>
        <w:t>надзор за ними малолетним детям;</w:t>
      </w:r>
      <w:r w:rsidR="00062AA2">
        <w:t xml:space="preserve"> </w:t>
      </w:r>
      <w:r>
        <w:t xml:space="preserve"> </w:t>
      </w:r>
    </w:p>
    <w:p w:rsidR="00524007" w:rsidRDefault="00524007" w:rsidP="00C257BA">
      <w:pPr>
        <w:jc w:val="both"/>
      </w:pPr>
      <w:r>
        <w:lastRenderedPageBreak/>
        <w:t xml:space="preserve">- </w:t>
      </w:r>
      <w:r w:rsidR="00062AA2">
        <w:t>разжигать печи бензино</w:t>
      </w:r>
      <w:r>
        <w:t>м и другими горючими веществами;</w:t>
      </w:r>
    </w:p>
    <w:p w:rsidR="00524007" w:rsidRDefault="00524007" w:rsidP="00C257BA">
      <w:pPr>
        <w:jc w:val="both"/>
      </w:pPr>
      <w:r>
        <w:t>-</w:t>
      </w:r>
      <w:r w:rsidR="00062AA2">
        <w:t xml:space="preserve"> располагать топливо и другие горючие м</w:t>
      </w:r>
      <w:r>
        <w:t>атериалы на предтопочном листе;</w:t>
      </w:r>
    </w:p>
    <w:p w:rsidR="009B3353" w:rsidRDefault="00524007" w:rsidP="00C257BA">
      <w:pPr>
        <w:jc w:val="both"/>
      </w:pPr>
      <w:r>
        <w:t xml:space="preserve">- </w:t>
      </w:r>
      <w:r w:rsidR="00062AA2">
        <w:t>перекаливать печи</w:t>
      </w:r>
      <w:r w:rsidR="008D74F8">
        <w:t>,</w:t>
      </w:r>
      <w:r w:rsidR="00062AA2">
        <w:t xml:space="preserve"> а также сушить дрова, одежду и другие сгораемые мате</w:t>
      </w:r>
      <w:r w:rsidR="008D74F8">
        <w:t>риалы на печах;</w:t>
      </w:r>
    </w:p>
    <w:p w:rsidR="008D74F8" w:rsidRDefault="008D74F8" w:rsidP="00C257BA">
      <w:pPr>
        <w:jc w:val="both"/>
      </w:pPr>
      <w:r>
        <w:t>- использовать вентиляционные и газовые каналы в качестве дымоходов;</w:t>
      </w:r>
    </w:p>
    <w:p w:rsidR="008D74F8" w:rsidRDefault="008D74F8" w:rsidP="00C257BA">
      <w:pPr>
        <w:jc w:val="both"/>
      </w:pPr>
      <w:r>
        <w:t xml:space="preserve">Зола и шлак, выгребаемые из топок, </w:t>
      </w:r>
      <w:r w:rsidRPr="008D74F8">
        <w:rPr>
          <w:b/>
        </w:rPr>
        <w:t>должны быть пролиты водой</w:t>
      </w:r>
      <w:r>
        <w:t xml:space="preserve"> и удалены в безопасное место.</w:t>
      </w:r>
    </w:p>
    <w:p w:rsidR="003C0F9A" w:rsidRDefault="003C0F9A" w:rsidP="00C257BA">
      <w:pPr>
        <w:jc w:val="both"/>
      </w:pPr>
      <w:r w:rsidRPr="003C0F9A">
        <w:rPr>
          <w:b/>
        </w:rPr>
        <w:t>Установка металлических печей самодельного изготовления</w:t>
      </w:r>
      <w:r>
        <w:t xml:space="preserve">, не отвечающих требованиям пожарной безопасности, </w:t>
      </w:r>
      <w:r w:rsidRPr="003C0F9A">
        <w:rPr>
          <w:b/>
        </w:rPr>
        <w:t>не допускается</w:t>
      </w:r>
      <w:r>
        <w:rPr>
          <w:b/>
        </w:rPr>
        <w:t>!</w:t>
      </w:r>
    </w:p>
    <w:p w:rsidR="00015CD0" w:rsidRDefault="00062AA2" w:rsidP="00C257BA">
      <w:pPr>
        <w:jc w:val="both"/>
      </w:pPr>
      <w:r>
        <w:t xml:space="preserve">6. </w:t>
      </w:r>
      <w:r w:rsidR="003C0F9A" w:rsidRPr="003C0F9A">
        <w:rPr>
          <w:b/>
        </w:rPr>
        <w:t>ЭЛЕКТРИЧЕСКОЕ ОБОРУДОВАНИЕ</w:t>
      </w:r>
      <w:r w:rsidR="003C0F9A">
        <w:rPr>
          <w:b/>
        </w:rPr>
        <w:t xml:space="preserve">. </w:t>
      </w:r>
      <w:r w:rsidR="003C0F9A" w:rsidRPr="00BF765D">
        <w:t>Проектирование, монтаж, эксплуатация электрических сетей, электрических приборов и изделий, а также контроль за их техническим со</w:t>
      </w:r>
      <w:r w:rsidR="00015CD0" w:rsidRPr="00BF765D">
        <w:t>с</w:t>
      </w:r>
      <w:r w:rsidR="003C0F9A" w:rsidRPr="00BF765D">
        <w:t>тоянием необходимо осуществлять в соответствии с требованиями нормативных документов по электроэнергетике (</w:t>
      </w:r>
      <w:r w:rsidR="00BF765D" w:rsidRPr="00BF765D">
        <w:t>ПУЭ,ПТЭЭ).</w:t>
      </w:r>
    </w:p>
    <w:p w:rsidR="00BF765D" w:rsidRPr="00BF765D" w:rsidRDefault="00BF765D" w:rsidP="00C257BA">
      <w:pPr>
        <w:jc w:val="both"/>
        <w:rPr>
          <w:u w:val="single"/>
        </w:rPr>
      </w:pPr>
      <w:r w:rsidRPr="00BF765D">
        <w:rPr>
          <w:u w:val="single"/>
        </w:rPr>
        <w:t>Отключайте электрические установки в хозяйственных помещениях после окончания в них работ.</w:t>
      </w:r>
    </w:p>
    <w:p w:rsidR="003C0F9A" w:rsidRDefault="003C0F9A" w:rsidP="00C257BA">
      <w:pPr>
        <w:jc w:val="both"/>
      </w:pPr>
      <w:r>
        <w:t xml:space="preserve"> </w:t>
      </w:r>
      <w:r w:rsidR="00733140">
        <w:t xml:space="preserve">При эксплуатации действующих электроустановок </w:t>
      </w:r>
      <w:r w:rsidR="00733140" w:rsidRPr="00015CD0">
        <w:rPr>
          <w:b/>
        </w:rPr>
        <w:t>запрещается:</w:t>
      </w:r>
      <w:r w:rsidR="00733140">
        <w:t xml:space="preserve"> </w:t>
      </w:r>
    </w:p>
    <w:p w:rsidR="003C0F9A" w:rsidRDefault="003C0F9A" w:rsidP="00C257BA">
      <w:pPr>
        <w:jc w:val="both"/>
      </w:pPr>
      <w:r>
        <w:t xml:space="preserve">- </w:t>
      </w:r>
      <w:r w:rsidR="00733140">
        <w:t>использовать</w:t>
      </w:r>
      <w:r w:rsidR="00A71035">
        <w:t xml:space="preserve"> электроприборы</w:t>
      </w:r>
      <w:r w:rsidR="00733140">
        <w:t xml:space="preserve"> имеющие неисправности</w:t>
      </w:r>
      <w:r w:rsidR="00A71035">
        <w:t>,</w:t>
      </w:r>
      <w:r w:rsidR="00733140">
        <w:t xml:space="preserve"> которые при эксплуатации м</w:t>
      </w:r>
      <w:r>
        <w:t>огут привести к пожару;</w:t>
      </w:r>
    </w:p>
    <w:p w:rsidR="003C0F9A" w:rsidRDefault="003C0F9A" w:rsidP="00C257BA">
      <w:pPr>
        <w:jc w:val="both"/>
      </w:pPr>
      <w:r>
        <w:t xml:space="preserve">-  </w:t>
      </w:r>
      <w:r w:rsidR="00733140">
        <w:t>эксплуатировать электропроводку с поврежденной или потеряв</w:t>
      </w:r>
      <w:r>
        <w:t>шей защитны</w:t>
      </w:r>
      <w:r w:rsidR="00A71035">
        <w:t>е свойства изоляцией, прокладывать её по горючим конструкц</w:t>
      </w:r>
      <w:r w:rsidR="00FC26D8">
        <w:t>иям без дополнительной изоляции, а также</w:t>
      </w:r>
      <w:r w:rsidR="005124CA">
        <w:t xml:space="preserve"> окрашивать ее красками;</w:t>
      </w:r>
    </w:p>
    <w:p w:rsidR="003C0F9A" w:rsidRDefault="003C0F9A" w:rsidP="00C257BA">
      <w:pPr>
        <w:jc w:val="both"/>
      </w:pPr>
      <w:r>
        <w:t>- п</w:t>
      </w:r>
      <w:r w:rsidR="00733140">
        <w:t>ользоваться поврежденными розетками, электронагревательн</w:t>
      </w:r>
      <w:r>
        <w:t>ыми приборами, не</w:t>
      </w:r>
      <w:r w:rsidR="00733140">
        <w:t xml:space="preserve"> име</w:t>
      </w:r>
      <w:r>
        <w:t>ющими устройств тепловой защиты;</w:t>
      </w:r>
    </w:p>
    <w:p w:rsidR="00733140" w:rsidRDefault="003C0F9A" w:rsidP="00C257BA">
      <w:pPr>
        <w:jc w:val="both"/>
      </w:pPr>
      <w:r>
        <w:t xml:space="preserve">- </w:t>
      </w:r>
      <w:r w:rsidR="00733140">
        <w:t xml:space="preserve"> применять самодельные предохранители «жучки» в аппаратах защиты</w:t>
      </w:r>
      <w:r w:rsidR="00524007">
        <w:t xml:space="preserve"> (электрических пробках),</w:t>
      </w:r>
      <w:r w:rsidR="00733140">
        <w:t xml:space="preserve"> от п</w:t>
      </w:r>
      <w:r>
        <w:t>ерегрузок и короткого зам</w:t>
      </w:r>
      <w:r w:rsidR="00BF765D">
        <w:t>ыкания;</w:t>
      </w:r>
    </w:p>
    <w:p w:rsidR="00470BD0" w:rsidRDefault="00470BD0" w:rsidP="00C257BA">
      <w:pPr>
        <w:jc w:val="both"/>
      </w:pPr>
      <w:r w:rsidRPr="00470BD0">
        <w:rPr>
          <w:b/>
        </w:rPr>
        <w:t>ГАЗОСНАБЖЕНИЕ</w:t>
      </w:r>
      <w:r>
        <w:rPr>
          <w:b/>
        </w:rPr>
        <w:t xml:space="preserve">: </w:t>
      </w:r>
      <w:r>
        <w:t>Запрещено:</w:t>
      </w:r>
    </w:p>
    <w:p w:rsidR="00470BD0" w:rsidRDefault="00470BD0" w:rsidP="00C257BA">
      <w:pPr>
        <w:jc w:val="both"/>
      </w:pPr>
      <w:r>
        <w:t>- использование газобаллонных установок в жилых многоквартирных домах более 2-х этажей;</w:t>
      </w:r>
    </w:p>
    <w:p w:rsidR="00C438BE" w:rsidRDefault="00470BD0" w:rsidP="00C257BA">
      <w:pPr>
        <w:jc w:val="both"/>
      </w:pPr>
      <w:r>
        <w:t xml:space="preserve">- устанавливать </w:t>
      </w:r>
      <w:r w:rsidR="005124CA">
        <w:t xml:space="preserve">или эксплуатировать </w:t>
      </w:r>
      <w:r>
        <w:t>неис</w:t>
      </w:r>
      <w:r w:rsidR="00C438BE">
        <w:t>правные баллоны с утечкой газа;</w:t>
      </w:r>
    </w:p>
    <w:p w:rsidR="00470BD0" w:rsidRDefault="00C438BE" w:rsidP="00C257BA">
      <w:pPr>
        <w:jc w:val="both"/>
      </w:pPr>
      <w:r>
        <w:t>- производить замену газовых баллонов во время работы отопительной печи, при наличии открытого огня, или курения, запрещается включать или выключать свет;</w:t>
      </w:r>
    </w:p>
    <w:p w:rsidR="00C438BE" w:rsidRDefault="00C438BE" w:rsidP="00C257BA">
      <w:pPr>
        <w:jc w:val="both"/>
      </w:pPr>
      <w:r>
        <w:t>- устанавливать газовые баллоны вблизи отопительных печей и приборов;</w:t>
      </w:r>
    </w:p>
    <w:p w:rsidR="00C438BE" w:rsidRDefault="00C438BE" w:rsidP="00C257BA">
      <w:pPr>
        <w:jc w:val="both"/>
      </w:pPr>
      <w:r>
        <w:t>- производить ремонт газовых ба</w:t>
      </w:r>
      <w:r w:rsidR="004500E5">
        <w:t>ллонов;</w:t>
      </w:r>
    </w:p>
    <w:p w:rsidR="00C438BE" w:rsidRDefault="00C438BE" w:rsidP="00C257BA">
      <w:pPr>
        <w:jc w:val="both"/>
      </w:pPr>
      <w:r>
        <w:t xml:space="preserve">При появлении запаха газа </w:t>
      </w:r>
      <w:r w:rsidR="004500E5">
        <w:t xml:space="preserve">и  его утечке </w:t>
      </w:r>
      <w:r>
        <w:t>необходимо:</w:t>
      </w:r>
    </w:p>
    <w:p w:rsidR="00C438BE" w:rsidRDefault="00C438BE" w:rsidP="00C257BA">
      <w:pPr>
        <w:jc w:val="both"/>
      </w:pPr>
      <w:r>
        <w:t>- открыть окна, двери для проветривания;</w:t>
      </w:r>
    </w:p>
    <w:p w:rsidR="00C438BE" w:rsidRDefault="00C438BE" w:rsidP="00C438BE">
      <w:r>
        <w:t>- закрыть кран (флажок) на редукторе;</w:t>
      </w:r>
    </w:p>
    <w:p w:rsidR="00C438BE" w:rsidRPr="00470BD0" w:rsidRDefault="00C438BE" w:rsidP="00C438BE">
      <w:r>
        <w:t>- сообщить в аварийную службу газоснабжения по тел: 41-004;</w:t>
      </w:r>
      <w:r w:rsidR="004500E5">
        <w:t xml:space="preserve"> </w:t>
      </w:r>
    </w:p>
    <w:p w:rsidR="00445008" w:rsidRDefault="00733140" w:rsidP="00C257BA">
      <w:pPr>
        <w:jc w:val="both"/>
      </w:pPr>
      <w:r>
        <w:t xml:space="preserve"> </w:t>
      </w:r>
      <w:r w:rsidR="00445008">
        <w:rPr>
          <w:b/>
        </w:rPr>
        <w:t xml:space="preserve">ВОДОСНАБЖЕНИЕ. </w:t>
      </w:r>
      <w:r w:rsidR="00445008">
        <w:t>У каждого строения в летнее время должна быть установлена емкость (200 литров) с водой и ведром или иметь огнетушитель, а также иметь приставную лестницу достигающую крыши.</w:t>
      </w:r>
    </w:p>
    <w:p w:rsidR="00445008" w:rsidRDefault="00445008" w:rsidP="00C257BA">
      <w:pPr>
        <w:jc w:val="both"/>
      </w:pPr>
      <w:r>
        <w:t xml:space="preserve">    На сети внутреннего хозяйственно-питьевого водопровода следует предусматривать отдельный кран для присоединения шланга )специального рукава), в целях возможности его использования в качестве первичного устройства внутриквартирного </w:t>
      </w:r>
      <w:r w:rsidR="00470BD0">
        <w:t>пожаротушения на ранней стадии. Шланг должен обеспечивать возможность подачи воды в любую точку квартиры и быть длиной не менее 15 метров и диаметром 19 мм и оборудован распылителем.</w:t>
      </w:r>
    </w:p>
    <w:p w:rsidR="005042F2" w:rsidRDefault="005042F2" w:rsidP="005042F2">
      <w:r>
        <w:t xml:space="preserve">     </w:t>
      </w:r>
      <w:r w:rsidRPr="005042F2">
        <w:t xml:space="preserve">Анализ пожаров последних лет показывает, что их наибольшее число происходит в ночное время суток. Для  спящего человека достаточно нескольких минут нахождения в задымленном помещении, чтобы получить критическую дозу угарного газа, которая приведет к летальному исходу. Обнаружить пожар на ранней стадии (при появлении дыма) способен </w:t>
      </w:r>
      <w:r w:rsidRPr="005042F2">
        <w:rPr>
          <w:b/>
        </w:rPr>
        <w:t>автономный пожарный</w:t>
      </w:r>
      <w:r>
        <w:rPr>
          <w:b/>
        </w:rPr>
        <w:t xml:space="preserve"> </w:t>
      </w:r>
      <w:r w:rsidRPr="005042F2">
        <w:rPr>
          <w:b/>
        </w:rPr>
        <w:t xml:space="preserve"> извещатель</w:t>
      </w:r>
      <w:r w:rsidRPr="005042F2">
        <w:t xml:space="preserve">. Устройство, установленное на потолке помещения, подаст мощный звуковой сигнал, способный разбудить спящего человека, даже находящегося в состоянии алкогольного опьянения. </w:t>
      </w:r>
    </w:p>
    <w:p w:rsidR="005042F2" w:rsidRPr="005042F2" w:rsidRDefault="00A47A86" w:rsidP="005042F2">
      <w:r>
        <w:t>Отдел надзорной деятельности</w:t>
      </w:r>
      <w:r w:rsidR="005042F2" w:rsidRPr="005042F2">
        <w:t xml:space="preserve"> по Краснозерскому району призывает жителей района быть более </w:t>
      </w:r>
      <w:r w:rsidR="004500E5">
        <w:t>бдительными в обращении с огнем</w:t>
      </w:r>
      <w:r w:rsidR="005042F2" w:rsidRPr="005042F2">
        <w:t xml:space="preserve"> помня</w:t>
      </w:r>
      <w:r w:rsidR="004500E5">
        <w:t>,</w:t>
      </w:r>
      <w:r w:rsidR="005042F2" w:rsidRPr="005042F2">
        <w:t xml:space="preserve"> что он может принести много горя и бед, если выйдет из под </w:t>
      </w:r>
      <w:r w:rsidR="004500E5">
        <w:t xml:space="preserve">Вашего </w:t>
      </w:r>
      <w:r w:rsidR="005042F2" w:rsidRPr="005042F2">
        <w:t>контроля.</w:t>
      </w:r>
    </w:p>
    <w:p w:rsidR="005042F2" w:rsidRPr="005042F2" w:rsidRDefault="009F7D45" w:rsidP="005042F2">
      <w:pPr>
        <w:rPr>
          <w:b/>
        </w:rPr>
      </w:pPr>
      <w:r>
        <w:rPr>
          <w:b/>
        </w:rPr>
        <w:t xml:space="preserve">Телефон вызова пожарной охраны </w:t>
      </w:r>
      <w:r w:rsidR="005042F2" w:rsidRPr="005042F2">
        <w:rPr>
          <w:b/>
        </w:rPr>
        <w:t xml:space="preserve">в Краснозерском районе: </w:t>
      </w:r>
      <w:r>
        <w:rPr>
          <w:b/>
        </w:rPr>
        <w:t xml:space="preserve">со стационарных телефонов </w:t>
      </w:r>
      <w:r w:rsidR="005042F2" w:rsidRPr="005042F2">
        <w:rPr>
          <w:b/>
        </w:rPr>
        <w:t>01 или 42-273, с мобильных телефонов: «010»</w:t>
      </w:r>
    </w:p>
    <w:p w:rsidR="00FB28BD" w:rsidRDefault="00A47A86" w:rsidP="00FC26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надзорной деятельности</w:t>
      </w:r>
      <w:r w:rsidR="004B3932">
        <w:rPr>
          <w:b/>
          <w:sz w:val="28"/>
          <w:szCs w:val="28"/>
        </w:rPr>
        <w:t xml:space="preserve"> </w:t>
      </w:r>
      <w:r w:rsidR="00FB28BD">
        <w:rPr>
          <w:b/>
          <w:sz w:val="28"/>
          <w:szCs w:val="28"/>
        </w:rPr>
        <w:t xml:space="preserve"> </w:t>
      </w:r>
    </w:p>
    <w:p w:rsidR="009F7D45" w:rsidRDefault="009F7D45" w:rsidP="00FC26D8">
      <w:pPr>
        <w:jc w:val="center"/>
      </w:pPr>
      <w:r w:rsidRPr="009F7D45">
        <w:rPr>
          <w:b/>
          <w:sz w:val="28"/>
          <w:szCs w:val="28"/>
        </w:rPr>
        <w:t xml:space="preserve"> по Краснозерскому району</w:t>
      </w:r>
    </w:p>
    <w:p w:rsidR="005042F2" w:rsidRPr="009F7D45" w:rsidRDefault="009F7D45" w:rsidP="009F7D45">
      <w:pPr>
        <w:jc w:val="center"/>
      </w:pPr>
      <w:r w:rsidRPr="009F7D45">
        <w:t>р.п. Краснозерское ул. Почтовая 5</w:t>
      </w:r>
      <w:r>
        <w:t xml:space="preserve">, </w:t>
      </w:r>
      <w:r w:rsidRPr="009F7D45">
        <w:t xml:space="preserve"> тел:</w:t>
      </w:r>
      <w:r w:rsidR="005042F2" w:rsidRPr="009F7D45">
        <w:t xml:space="preserve"> 41-273 или 43-784</w:t>
      </w:r>
      <w:r w:rsidRPr="009F7D45">
        <w:t>.</w:t>
      </w:r>
    </w:p>
    <w:sectPr w:rsidR="005042F2" w:rsidRPr="009F7D45" w:rsidSect="00524007">
      <w:pgSz w:w="11906" w:h="16838"/>
      <w:pgMar w:top="360" w:right="566" w:bottom="1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C3"/>
    <w:rsid w:val="00015CD0"/>
    <w:rsid w:val="00040067"/>
    <w:rsid w:val="00062AA2"/>
    <w:rsid w:val="00125BC3"/>
    <w:rsid w:val="00256E86"/>
    <w:rsid w:val="00277AA9"/>
    <w:rsid w:val="00311D8F"/>
    <w:rsid w:val="00386C46"/>
    <w:rsid w:val="003C0F9A"/>
    <w:rsid w:val="003D1B4B"/>
    <w:rsid w:val="00445008"/>
    <w:rsid w:val="004500E5"/>
    <w:rsid w:val="00470BD0"/>
    <w:rsid w:val="004B3932"/>
    <w:rsid w:val="005042F2"/>
    <w:rsid w:val="005124CA"/>
    <w:rsid w:val="00524007"/>
    <w:rsid w:val="00733140"/>
    <w:rsid w:val="008C7BC6"/>
    <w:rsid w:val="008D74F8"/>
    <w:rsid w:val="009B3353"/>
    <w:rsid w:val="009F7D45"/>
    <w:rsid w:val="00A47A86"/>
    <w:rsid w:val="00A6549E"/>
    <w:rsid w:val="00A71035"/>
    <w:rsid w:val="00A74286"/>
    <w:rsid w:val="00BC4DCC"/>
    <w:rsid w:val="00BF765D"/>
    <w:rsid w:val="00C257BA"/>
    <w:rsid w:val="00C438BE"/>
    <w:rsid w:val="00D264DD"/>
    <w:rsid w:val="00DC0724"/>
    <w:rsid w:val="00DE25D2"/>
    <w:rsid w:val="00DF1B76"/>
    <w:rsid w:val="00FB28BD"/>
    <w:rsid w:val="00FB2A75"/>
    <w:rsid w:val="00FC26D8"/>
    <w:rsid w:val="00F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AC92C14-D8AC-2F49-8312-89C0C61C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н с т р у к ц и я</vt:lpstr>
    </vt:vector>
  </TitlesOfParts>
  <Company>Организация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с т р у к ц и я</dc:title>
  <dc:subject/>
  <dc:creator>nmts</dc:creator>
  <cp:keywords/>
  <cp:lastModifiedBy>Гость</cp:lastModifiedBy>
  <cp:revision>2</cp:revision>
  <cp:lastPrinted>2015-02-08T03:17:00Z</cp:lastPrinted>
  <dcterms:created xsi:type="dcterms:W3CDTF">2019-09-18T03:45:00Z</dcterms:created>
  <dcterms:modified xsi:type="dcterms:W3CDTF">2019-09-18T03:45:00Z</dcterms:modified>
</cp:coreProperties>
</file>